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sz w:val="36"/>
          <w:szCs w:val="48"/>
          <w:lang w:eastAsia="zh-CN"/>
        </w:rPr>
        <w:t>会昌县第二人民医院提升改造项目资料编制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06888376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469749018"/>
      <w:bookmarkStart w:id="6" w:name="_Toc528251789"/>
      <w:bookmarkStart w:id="7" w:name="_Toc138837744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3D05221B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项目名称：会昌县第二人民医院提升改造项目资料编制单位</w:t>
      </w:r>
    </w:p>
    <w:p w14:paraId="30840662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5"/>
        <w:tblW w:w="47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767"/>
        <w:gridCol w:w="793"/>
        <w:gridCol w:w="619"/>
        <w:gridCol w:w="1630"/>
        <w:gridCol w:w="1412"/>
        <w:gridCol w:w="1395"/>
        <w:gridCol w:w="1000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8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5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5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37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338" w:type="pct"/>
            <w:vAlign w:val="center"/>
          </w:tcPr>
          <w:p w14:paraId="04FBE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6" w:type="pct"/>
            <w:vAlign w:val="center"/>
          </w:tcPr>
          <w:p w14:paraId="395A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3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会昌县第二人民医院提升改造项目</w:t>
            </w:r>
          </w:p>
        </w:tc>
        <w:tc>
          <w:tcPr>
            <w:tcW w:w="429" w:type="pct"/>
            <w:vAlign w:val="center"/>
          </w:tcPr>
          <w:p w14:paraId="7832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资料编制</w:t>
            </w:r>
          </w:p>
        </w:tc>
        <w:tc>
          <w:tcPr>
            <w:tcW w:w="335" w:type="pct"/>
            <w:vAlign w:val="center"/>
          </w:tcPr>
          <w:p w14:paraId="37DB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882" w:type="pct"/>
            <w:vAlign w:val="center"/>
          </w:tcPr>
          <w:p w14:paraId="129F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34.70</w:t>
            </w:r>
          </w:p>
        </w:tc>
        <w:tc>
          <w:tcPr>
            <w:tcW w:w="764" w:type="pct"/>
            <w:vAlign w:val="center"/>
          </w:tcPr>
          <w:p w14:paraId="523F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合同</w:t>
            </w:r>
            <w:bookmarkStart w:id="9" w:name="_GoBack"/>
            <w:bookmarkEnd w:id="9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价×2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.6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‰</w:t>
            </w:r>
          </w:p>
        </w:tc>
        <w:tc>
          <w:tcPr>
            <w:tcW w:w="755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37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AB643A0"/>
    <w:rsid w:val="4C194668"/>
    <w:rsid w:val="514532B0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1326</Words>
  <Characters>1540</Characters>
  <Lines>0</Lines>
  <Paragraphs>0</Paragraphs>
  <TotalTime>2</TotalTime>
  <ScaleCrop>false</ScaleCrop>
  <LinksUpToDate>false</LinksUpToDate>
  <CharactersWithSpaces>1924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2025-08-01T10:19:18Z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